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E720B" w14:textId="77777777" w:rsidR="00F51B88" w:rsidRPr="000D0610" w:rsidRDefault="00F51B88" w:rsidP="000D0610">
      <w:pPr>
        <w:ind w:left="360"/>
        <w:jc w:val="center"/>
        <w:rPr>
          <w:rFonts w:cs="Arial"/>
          <w:sz w:val="22"/>
          <w:szCs w:val="22"/>
        </w:rPr>
      </w:pPr>
      <w:r w:rsidRPr="000D0610">
        <w:rPr>
          <w:rFonts w:cs="Arial"/>
          <w:sz w:val="22"/>
          <w:szCs w:val="22"/>
        </w:rPr>
        <w:t>Shirley Kressel</w:t>
      </w:r>
    </w:p>
    <w:p w14:paraId="10E7F565" w14:textId="77777777" w:rsidR="00F51B88" w:rsidRPr="000D0610" w:rsidRDefault="00F51B88" w:rsidP="000D0610">
      <w:pPr>
        <w:jc w:val="center"/>
        <w:rPr>
          <w:rFonts w:cs="Arial"/>
          <w:sz w:val="22"/>
          <w:szCs w:val="22"/>
        </w:rPr>
      </w:pPr>
    </w:p>
    <w:p w14:paraId="2DBDDC57" w14:textId="77777777" w:rsidR="00F51B88" w:rsidRPr="000D0610" w:rsidRDefault="00F51B88" w:rsidP="000D0610">
      <w:pPr>
        <w:rPr>
          <w:rFonts w:cs="Arial"/>
          <w:sz w:val="22"/>
          <w:szCs w:val="22"/>
        </w:rPr>
      </w:pPr>
    </w:p>
    <w:p w14:paraId="67BAB55E" w14:textId="77777777" w:rsidR="00F51B88" w:rsidRPr="000D0610" w:rsidRDefault="00F51B88" w:rsidP="000D0610">
      <w:pPr>
        <w:ind w:left="360"/>
        <w:rPr>
          <w:rFonts w:cs="Arial"/>
          <w:sz w:val="22"/>
          <w:szCs w:val="22"/>
        </w:rPr>
      </w:pPr>
      <w:r w:rsidRPr="000D0610">
        <w:rPr>
          <w:rFonts w:cs="Arial"/>
          <w:sz w:val="22"/>
          <w:szCs w:val="22"/>
        </w:rPr>
        <w:t>Phil Cohen, Project Manager &lt;Phil.Cohen@boston.gov&gt;</w:t>
      </w:r>
    </w:p>
    <w:p w14:paraId="00CCC718" w14:textId="77777777" w:rsidR="00F51B88" w:rsidRPr="000D0610" w:rsidRDefault="00F51B88" w:rsidP="000D0610">
      <w:pPr>
        <w:ind w:left="360"/>
        <w:rPr>
          <w:rFonts w:cs="Arial"/>
          <w:sz w:val="22"/>
          <w:szCs w:val="22"/>
        </w:rPr>
      </w:pPr>
      <w:r w:rsidRPr="000D0610">
        <w:rPr>
          <w:rFonts w:cs="Arial"/>
          <w:sz w:val="22"/>
          <w:szCs w:val="22"/>
        </w:rPr>
        <w:t>Boston Planning &amp; Development Agency</w:t>
      </w:r>
    </w:p>
    <w:p w14:paraId="4AFEA56E" w14:textId="77777777" w:rsidR="00F51B88" w:rsidRPr="000D0610" w:rsidRDefault="00F51B88" w:rsidP="000D0610">
      <w:pPr>
        <w:ind w:left="360"/>
        <w:rPr>
          <w:rFonts w:cs="Arial"/>
          <w:sz w:val="22"/>
          <w:szCs w:val="22"/>
        </w:rPr>
      </w:pPr>
      <w:r w:rsidRPr="000D0610">
        <w:rPr>
          <w:rFonts w:cs="Arial"/>
          <w:sz w:val="22"/>
          <w:szCs w:val="22"/>
        </w:rPr>
        <w:t>One City Hall Square</w:t>
      </w:r>
    </w:p>
    <w:p w14:paraId="261D5244" w14:textId="77777777" w:rsidR="00F51B88" w:rsidRPr="000D0610" w:rsidRDefault="00F51B88" w:rsidP="000D0610">
      <w:pPr>
        <w:ind w:left="360"/>
        <w:rPr>
          <w:rFonts w:cs="Arial"/>
          <w:sz w:val="22"/>
          <w:szCs w:val="22"/>
        </w:rPr>
      </w:pPr>
      <w:r w:rsidRPr="000D0610">
        <w:rPr>
          <w:rFonts w:cs="Arial"/>
          <w:sz w:val="22"/>
          <w:szCs w:val="22"/>
        </w:rPr>
        <w:t>Boston, MA 02201</w:t>
      </w:r>
    </w:p>
    <w:p w14:paraId="4DE9CFD2" w14:textId="77777777" w:rsidR="00F51B88" w:rsidRPr="000D0610" w:rsidRDefault="00F51B88" w:rsidP="000D0610">
      <w:pPr>
        <w:rPr>
          <w:rFonts w:cs="Arial"/>
          <w:sz w:val="22"/>
          <w:szCs w:val="22"/>
        </w:rPr>
      </w:pPr>
    </w:p>
    <w:p w14:paraId="1DD69251" w14:textId="77777777" w:rsidR="00F51B88" w:rsidRPr="000D0610" w:rsidRDefault="00F51B88" w:rsidP="000D0610">
      <w:pPr>
        <w:ind w:left="360"/>
        <w:rPr>
          <w:rFonts w:cs="Arial"/>
          <w:sz w:val="22"/>
          <w:szCs w:val="22"/>
        </w:rPr>
      </w:pPr>
      <w:r w:rsidRPr="000D0610">
        <w:rPr>
          <w:rFonts w:cs="Arial"/>
          <w:sz w:val="22"/>
          <w:szCs w:val="22"/>
        </w:rPr>
        <w:t>RE: 1000 Boylston Street Project Notification Form (PNF)</w:t>
      </w:r>
    </w:p>
    <w:p w14:paraId="4BB7FDE6" w14:textId="77777777" w:rsidR="00F51B88" w:rsidRPr="000D0610" w:rsidRDefault="00F51B88" w:rsidP="000D0610">
      <w:pPr>
        <w:rPr>
          <w:rFonts w:cs="Arial"/>
          <w:sz w:val="22"/>
          <w:szCs w:val="22"/>
        </w:rPr>
      </w:pPr>
    </w:p>
    <w:p w14:paraId="6C943D8A" w14:textId="77777777" w:rsidR="00F51B88" w:rsidRPr="000D0610" w:rsidRDefault="00F51B88" w:rsidP="000D0610">
      <w:pPr>
        <w:ind w:left="360"/>
        <w:rPr>
          <w:rFonts w:cs="Arial"/>
          <w:sz w:val="22"/>
          <w:szCs w:val="22"/>
        </w:rPr>
      </w:pPr>
      <w:r w:rsidRPr="000D0610">
        <w:rPr>
          <w:rFonts w:cs="Arial"/>
          <w:sz w:val="22"/>
          <w:szCs w:val="22"/>
        </w:rPr>
        <w:t>Dear Mr. Cohen</w:t>
      </w:r>
      <w:r w:rsidR="000D0610" w:rsidRPr="000D0610">
        <w:rPr>
          <w:rFonts w:cs="Arial"/>
          <w:sz w:val="22"/>
          <w:szCs w:val="22"/>
        </w:rPr>
        <w:t>:</w:t>
      </w:r>
    </w:p>
    <w:p w14:paraId="0E09C0EF" w14:textId="77777777" w:rsidR="000D0610" w:rsidRPr="000D0610" w:rsidRDefault="000D0610" w:rsidP="000D0610">
      <w:pPr>
        <w:rPr>
          <w:rFonts w:cs="Arial"/>
          <w:sz w:val="22"/>
          <w:szCs w:val="22"/>
        </w:rPr>
      </w:pPr>
    </w:p>
    <w:p w14:paraId="273B5696" w14:textId="77777777" w:rsidR="00957E56" w:rsidRDefault="00F51B88" w:rsidP="000D0610">
      <w:pPr>
        <w:ind w:left="360"/>
        <w:rPr>
          <w:rFonts w:cs="Arial"/>
          <w:sz w:val="22"/>
          <w:szCs w:val="22"/>
        </w:rPr>
      </w:pPr>
      <w:r w:rsidRPr="000D0610">
        <w:rPr>
          <w:rFonts w:cs="Arial"/>
          <w:sz w:val="22"/>
          <w:szCs w:val="22"/>
        </w:rPr>
        <w:t>I am a Back Bay resident</w:t>
      </w:r>
      <w:r w:rsidR="005535BF">
        <w:rPr>
          <w:rFonts w:cs="Arial"/>
          <w:sz w:val="22"/>
          <w:szCs w:val="22"/>
        </w:rPr>
        <w:t xml:space="preserve"> and owner of a home </w:t>
      </w:r>
      <w:r w:rsidR="00957E56">
        <w:rPr>
          <w:rFonts w:cs="Arial"/>
          <w:sz w:val="22"/>
          <w:szCs w:val="22"/>
        </w:rPr>
        <w:t>at Hereford and Marlborough, a couple of blocks north of the proposed</w:t>
      </w:r>
      <w:r w:rsidR="005535BF">
        <w:rPr>
          <w:rFonts w:cs="Arial"/>
          <w:sz w:val="22"/>
          <w:szCs w:val="22"/>
        </w:rPr>
        <w:t xml:space="preserve"> project</w:t>
      </w:r>
      <w:r w:rsidRPr="000D0610">
        <w:rPr>
          <w:rFonts w:cs="Arial"/>
          <w:sz w:val="22"/>
          <w:szCs w:val="22"/>
        </w:rPr>
        <w:t xml:space="preserve">. I am writing to you to express my opposition to the </w:t>
      </w:r>
      <w:r w:rsidR="00957E56" w:rsidRPr="000D0610">
        <w:rPr>
          <w:rFonts w:cs="Arial"/>
          <w:sz w:val="22"/>
          <w:szCs w:val="22"/>
        </w:rPr>
        <w:t xml:space="preserve">design </w:t>
      </w:r>
      <w:r w:rsidR="00957E56">
        <w:rPr>
          <w:rFonts w:cs="Arial"/>
          <w:sz w:val="22"/>
          <w:szCs w:val="22"/>
        </w:rPr>
        <w:t xml:space="preserve">as </w:t>
      </w:r>
      <w:r w:rsidR="00957E56" w:rsidRPr="000D0610">
        <w:rPr>
          <w:rFonts w:cs="Arial"/>
          <w:sz w:val="22"/>
          <w:szCs w:val="22"/>
        </w:rPr>
        <w:t xml:space="preserve">proposed </w:t>
      </w:r>
      <w:r w:rsidR="00957E56">
        <w:rPr>
          <w:rFonts w:cs="Arial"/>
          <w:sz w:val="22"/>
          <w:szCs w:val="22"/>
        </w:rPr>
        <w:t xml:space="preserve">in the </w:t>
      </w:r>
      <w:r w:rsidRPr="000D0610">
        <w:rPr>
          <w:rFonts w:cs="Arial"/>
          <w:sz w:val="22"/>
          <w:szCs w:val="22"/>
        </w:rPr>
        <w:t xml:space="preserve">1000 Boylston Street Article 80 Project Notification Form (PNF). </w:t>
      </w:r>
      <w:r w:rsidR="00957E56">
        <w:rPr>
          <w:rFonts w:cs="Arial"/>
          <w:sz w:val="22"/>
          <w:szCs w:val="22"/>
        </w:rPr>
        <w:t xml:space="preserve"> </w:t>
      </w:r>
    </w:p>
    <w:p w14:paraId="2A757017" w14:textId="77777777" w:rsidR="00957E56" w:rsidRDefault="00957E56" w:rsidP="000D0610">
      <w:pPr>
        <w:ind w:left="360"/>
        <w:rPr>
          <w:rFonts w:cs="Arial"/>
          <w:sz w:val="22"/>
          <w:szCs w:val="22"/>
        </w:rPr>
      </w:pPr>
    </w:p>
    <w:p w14:paraId="7659F3A6" w14:textId="77777777" w:rsidR="000D0610" w:rsidRPr="000D0610" w:rsidRDefault="00F51B88" w:rsidP="000D0610">
      <w:pPr>
        <w:ind w:left="360"/>
        <w:rPr>
          <w:rFonts w:cs="Arial"/>
          <w:sz w:val="22"/>
          <w:szCs w:val="22"/>
        </w:rPr>
      </w:pPr>
      <w:r w:rsidRPr="000D0610">
        <w:rPr>
          <w:rFonts w:cs="Arial"/>
          <w:sz w:val="22"/>
          <w:szCs w:val="22"/>
        </w:rPr>
        <w:t xml:space="preserve">The PNF </w:t>
      </w:r>
      <w:r w:rsidR="000D0610" w:rsidRPr="000D0610">
        <w:rPr>
          <w:rFonts w:cs="Arial"/>
          <w:sz w:val="22"/>
          <w:szCs w:val="22"/>
        </w:rPr>
        <w:t>asserts</w:t>
      </w:r>
      <w:r w:rsidRPr="000D0610">
        <w:rPr>
          <w:rFonts w:cs="Arial"/>
          <w:sz w:val="22"/>
          <w:szCs w:val="22"/>
        </w:rPr>
        <w:t xml:space="preserve">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000D0610" w:rsidRPr="000D0610">
        <w:rPr>
          <w:rFonts w:cs="Arial"/>
          <w:sz w:val="22"/>
          <w:szCs w:val="22"/>
        </w:rPr>
        <w:t xml:space="preserve">  The proposal suffers from many serious deficiencies:</w:t>
      </w:r>
    </w:p>
    <w:p w14:paraId="73E52A94" w14:textId="77777777" w:rsidR="000D0610" w:rsidRPr="000D0610" w:rsidRDefault="000D0610" w:rsidP="000D0610">
      <w:pPr>
        <w:rPr>
          <w:rFonts w:cs="Arial"/>
          <w:sz w:val="22"/>
          <w:szCs w:val="22"/>
        </w:rPr>
      </w:pPr>
    </w:p>
    <w:p w14:paraId="399F5299" w14:textId="77777777" w:rsidR="000D0610" w:rsidRDefault="000D0610" w:rsidP="000D0610">
      <w:pPr>
        <w:widowControl w:val="0"/>
        <w:tabs>
          <w:tab w:val="left" w:pos="180"/>
          <w:tab w:val="left" w:pos="220"/>
        </w:tabs>
        <w:autoSpaceDE w:val="0"/>
        <w:autoSpaceDN w:val="0"/>
        <w:adjustRightInd w:val="0"/>
        <w:ind w:left="360"/>
        <w:rPr>
          <w:rFonts w:cs="Georgia"/>
          <w:sz w:val="22"/>
          <w:szCs w:val="22"/>
        </w:rPr>
      </w:pPr>
      <w:r w:rsidRPr="000D0610">
        <w:rPr>
          <w:rFonts w:cs="Georgia"/>
          <w:b/>
          <w:bCs/>
          <w:sz w:val="22"/>
          <w:szCs w:val="22"/>
        </w:rPr>
        <w:t xml:space="preserve">Neighborhood </w:t>
      </w:r>
      <w:r>
        <w:rPr>
          <w:rFonts w:cs="Georgia"/>
          <w:b/>
          <w:bCs/>
          <w:sz w:val="22"/>
          <w:szCs w:val="22"/>
        </w:rPr>
        <w:t xml:space="preserve">and state </w:t>
      </w:r>
      <w:r w:rsidRPr="000D0610">
        <w:rPr>
          <w:rFonts w:cs="Georgia"/>
          <w:b/>
          <w:bCs/>
          <w:sz w:val="22"/>
          <w:szCs w:val="22"/>
        </w:rPr>
        <w:t>guidelines are ignored.</w:t>
      </w:r>
      <w:r w:rsidRPr="000D0610">
        <w:rPr>
          <w:rFonts w:cs="Georgia"/>
          <w:sz w:val="22"/>
          <w:szCs w:val="22"/>
        </w:rPr>
        <w:t xml:space="preserve"> </w:t>
      </w:r>
    </w:p>
    <w:p w14:paraId="3030818A" w14:textId="77777777" w:rsidR="000D0610" w:rsidRPr="000D0610" w:rsidRDefault="00CF5634" w:rsidP="000D0610">
      <w:pPr>
        <w:widowControl w:val="0"/>
        <w:tabs>
          <w:tab w:val="left" w:pos="180"/>
          <w:tab w:val="left" w:pos="220"/>
        </w:tabs>
        <w:autoSpaceDE w:val="0"/>
        <w:autoSpaceDN w:val="0"/>
        <w:adjustRightInd w:val="0"/>
        <w:ind w:left="360"/>
        <w:rPr>
          <w:rFonts w:cs="Georgia"/>
          <w:sz w:val="22"/>
          <w:szCs w:val="22"/>
        </w:rPr>
      </w:pPr>
      <w:r w:rsidRPr="000D0610">
        <w:rPr>
          <w:rFonts w:cs="Georgia"/>
          <w:sz w:val="22"/>
          <w:szCs w:val="22"/>
        </w:rPr>
        <w:t xml:space="preserve">No building of this size has ever been supported by the neighborhoods for Boylston Street (in the Back Bay). </w:t>
      </w:r>
      <w:r w:rsidR="000D0610" w:rsidRPr="000D0610">
        <w:rPr>
          <w:rFonts w:cs="Georgia"/>
          <w:sz w:val="22"/>
          <w:szCs w:val="22"/>
        </w:rPr>
        <w:t>T</w:t>
      </w:r>
      <w:r w:rsidR="000D0610">
        <w:rPr>
          <w:rFonts w:cs="Georgia"/>
          <w:sz w:val="22"/>
          <w:szCs w:val="22"/>
        </w:rPr>
        <w:t>he Developer largely disregards</w:t>
      </w:r>
      <w:r w:rsidR="000D0610" w:rsidRPr="000D0610">
        <w:rPr>
          <w:rFonts w:cs="Georgia"/>
          <w:sz w:val="22"/>
          <w:szCs w:val="22"/>
        </w:rPr>
        <w:t xml:space="preserve"> the </w:t>
      </w:r>
      <w:r w:rsidR="000D0610" w:rsidRPr="000D0610">
        <w:rPr>
          <w:rFonts w:cs="Georgia"/>
          <w:bCs/>
          <w:sz w:val="22"/>
          <w:szCs w:val="22"/>
        </w:rPr>
        <w:t>“Civic Vision for Turnpike Development”</w:t>
      </w:r>
      <w:r w:rsidR="000D0610" w:rsidRPr="000D0610">
        <w:rPr>
          <w:rFonts w:cs="Georgia"/>
          <w:sz w:val="22"/>
          <w:szCs w:val="22"/>
        </w:rPr>
        <w:t xml:space="preserve"> guidelines, designed to protect Back Bay and Fenway neighborhood’s historic character and livability. These were established (by consensus) after public meetings with BRA staff and urban planners. “Only one taller building above 15 stories should be allowed on either Parcel 12 or 15. </w:t>
      </w:r>
      <w:r w:rsidR="000D0610">
        <w:rPr>
          <w:rFonts w:cs="Georgia"/>
          <w:sz w:val="22"/>
          <w:szCs w:val="22"/>
        </w:rPr>
        <w:t xml:space="preserve"> </w:t>
      </w:r>
      <w:r w:rsidR="000D0610" w:rsidRPr="000D0610">
        <w:rPr>
          <w:rFonts w:cs="Georgia"/>
          <w:sz w:val="22"/>
          <w:szCs w:val="22"/>
        </w:rPr>
        <w:t xml:space="preserve">No other buildings on these parcels should exceed 14 stories.” Further, the guidelines call for no visible parking, 24-foot-wide sidewalks, and some form of public benefit, such as assisted living, childcare, cultural facilities, affordable housing, etc. </w:t>
      </w:r>
      <w:r w:rsidR="000D0610">
        <w:rPr>
          <w:rFonts w:cs="Georgia"/>
          <w:sz w:val="22"/>
          <w:szCs w:val="22"/>
        </w:rPr>
        <w:t xml:space="preserve"> </w:t>
      </w:r>
      <w:r w:rsidR="000D0610" w:rsidRPr="000D0610">
        <w:rPr>
          <w:rFonts w:cs="Georgia"/>
          <w:iCs/>
          <w:sz w:val="22"/>
          <w:szCs w:val="22"/>
        </w:rPr>
        <w:t>This proposal includes none of these.</w:t>
      </w:r>
    </w:p>
    <w:p w14:paraId="4FE64953" w14:textId="77777777" w:rsidR="000D0610" w:rsidRPr="000D0610" w:rsidRDefault="000D0610" w:rsidP="000D0610">
      <w:pPr>
        <w:widowControl w:val="0"/>
        <w:tabs>
          <w:tab w:val="left" w:pos="180"/>
          <w:tab w:val="left" w:pos="220"/>
        </w:tabs>
        <w:autoSpaceDE w:val="0"/>
        <w:autoSpaceDN w:val="0"/>
        <w:adjustRightInd w:val="0"/>
        <w:ind w:left="360"/>
        <w:rPr>
          <w:rFonts w:cs="Georgia"/>
          <w:sz w:val="22"/>
          <w:szCs w:val="22"/>
        </w:rPr>
      </w:pPr>
    </w:p>
    <w:p w14:paraId="5097C5D9" w14:textId="77777777" w:rsidR="000D0610" w:rsidRPr="000D0610" w:rsidRDefault="000D0610" w:rsidP="000D0610">
      <w:pPr>
        <w:widowControl w:val="0"/>
        <w:tabs>
          <w:tab w:val="left" w:pos="180"/>
          <w:tab w:val="left" w:pos="220"/>
        </w:tabs>
        <w:autoSpaceDE w:val="0"/>
        <w:autoSpaceDN w:val="0"/>
        <w:adjustRightInd w:val="0"/>
        <w:ind w:left="360"/>
        <w:rPr>
          <w:rFonts w:cs="Georgia"/>
          <w:sz w:val="22"/>
          <w:szCs w:val="22"/>
        </w:rPr>
      </w:pPr>
      <w:r>
        <w:rPr>
          <w:rFonts w:cs="Georgia"/>
          <w:b/>
          <w:bCs/>
          <w:sz w:val="22"/>
          <w:szCs w:val="22"/>
        </w:rPr>
        <w:t>Serious environmental impacts will result</w:t>
      </w:r>
      <w:r w:rsidR="00CF5634">
        <w:rPr>
          <w:rFonts w:cs="Georgia"/>
          <w:b/>
          <w:bCs/>
          <w:sz w:val="22"/>
          <w:szCs w:val="22"/>
        </w:rPr>
        <w:t>.</w:t>
      </w:r>
    </w:p>
    <w:p w14:paraId="698E07B9" w14:textId="77777777" w:rsidR="00647595" w:rsidRPr="00863A4E"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r w:rsidR="00CF5634">
        <w:rPr>
          <w:rFonts w:cs="Georgia"/>
          <w:b/>
          <w:bCs/>
          <w:sz w:val="22"/>
          <w:szCs w:val="22"/>
        </w:rPr>
        <w:t>S</w:t>
      </w:r>
      <w:r w:rsidR="000D0610" w:rsidRPr="000D0610">
        <w:rPr>
          <w:rFonts w:cs="Georgia"/>
          <w:b/>
          <w:bCs/>
          <w:sz w:val="22"/>
          <w:szCs w:val="22"/>
        </w:rPr>
        <w:t xml:space="preserve">hadows. </w:t>
      </w:r>
      <w:r w:rsidR="000D0610" w:rsidRPr="000D0610">
        <w:rPr>
          <w:rFonts w:cs="Georgia"/>
          <w:iCs/>
          <w:sz w:val="22"/>
          <w:szCs w:val="22"/>
        </w:rPr>
        <w:t>This project will create unacceptable shadow on our parks and will darken many homes</w:t>
      </w:r>
      <w:r w:rsidR="000D0610" w:rsidRPr="000D0610">
        <w:rPr>
          <w:rFonts w:cs="Georgia"/>
          <w:i/>
          <w:iCs/>
          <w:sz w:val="22"/>
          <w:szCs w:val="22"/>
        </w:rPr>
        <w:t xml:space="preserve">. </w:t>
      </w:r>
      <w:r w:rsidR="000D0610" w:rsidRPr="000D0610">
        <w:rPr>
          <w:rFonts w:cs="Georgia"/>
          <w:sz w:val="22"/>
          <w:szCs w:val="22"/>
        </w:rPr>
        <w:t xml:space="preserve">We can expect significant new shadows throughout the year. These are indicated on the minimal shadow studies included in the PNF. </w:t>
      </w:r>
      <w:r w:rsidR="000D0610">
        <w:rPr>
          <w:rFonts w:cs="Georgia"/>
          <w:sz w:val="22"/>
          <w:szCs w:val="22"/>
        </w:rPr>
        <w:t xml:space="preserve"> In </w:t>
      </w:r>
      <w:r w:rsidR="000D0610" w:rsidRPr="000D0610">
        <w:rPr>
          <w:rFonts w:cs="Georgia"/>
          <w:sz w:val="22"/>
          <w:szCs w:val="22"/>
        </w:rPr>
        <w:t>some seasons, shadows will extend across the Comm. Ave. Mall to the Esplanade and Charles River. At times these shadows will adversely affect significant areas of parks, homes, and public</w:t>
      </w:r>
      <w:r w:rsidR="00863A4E">
        <w:rPr>
          <w:rFonts w:cs="Georgia"/>
          <w:sz w:val="22"/>
          <w:szCs w:val="22"/>
        </w:rPr>
        <w:t xml:space="preserve"> and historic</w:t>
      </w:r>
      <w:r w:rsidR="000D0610" w:rsidRPr="000D0610">
        <w:rPr>
          <w:rFonts w:cs="Georgia"/>
          <w:sz w:val="22"/>
          <w:szCs w:val="22"/>
        </w:rPr>
        <w:t xml:space="preserve"> buildings for several hours daily</w:t>
      </w:r>
      <w:r w:rsidR="00863A4E">
        <w:rPr>
          <w:rFonts w:cs="Georgia"/>
          <w:sz w:val="22"/>
          <w:szCs w:val="22"/>
        </w:rPr>
        <w:t>.  We</w:t>
      </w:r>
      <w:r w:rsidR="000D0610">
        <w:rPr>
          <w:rFonts w:cs="Georgia"/>
          <w:iCs/>
          <w:sz w:val="22"/>
          <w:szCs w:val="22"/>
        </w:rPr>
        <w:t xml:space="preserve"> need detailed shadow studies of these impacts, which will affect quality of life and property values. </w:t>
      </w:r>
      <w:r w:rsidR="00863A4E">
        <w:rPr>
          <w:rFonts w:cs="Georgia"/>
          <w:iCs/>
          <w:sz w:val="22"/>
          <w:szCs w:val="22"/>
        </w:rPr>
        <w:t xml:space="preserve"> N</w:t>
      </w:r>
      <w:r w:rsidR="005A4131">
        <w:rPr>
          <w:rFonts w:cs="Georgia"/>
          <w:iCs/>
          <w:sz w:val="22"/>
          <w:szCs w:val="22"/>
        </w:rPr>
        <w:t xml:space="preserve">ote that the PNF </w:t>
      </w:r>
      <w:r w:rsidR="00863A4E">
        <w:rPr>
          <w:rFonts w:cs="Georgia"/>
          <w:iCs/>
          <w:sz w:val="22"/>
          <w:szCs w:val="22"/>
        </w:rPr>
        <w:t>fails to include a</w:t>
      </w:r>
      <w:r w:rsidR="005A4131">
        <w:rPr>
          <w:rFonts w:cs="Georgia"/>
          <w:iCs/>
          <w:sz w:val="22"/>
          <w:szCs w:val="22"/>
        </w:rPr>
        <w:t xml:space="preserve"> shadow “overlap” diagram for Dec. 21</w:t>
      </w:r>
      <w:r w:rsidR="00863A4E">
        <w:rPr>
          <w:rFonts w:cs="Georgia"/>
          <w:iCs/>
          <w:sz w:val="22"/>
          <w:szCs w:val="22"/>
        </w:rPr>
        <w:t>.</w:t>
      </w:r>
    </w:p>
    <w:p w14:paraId="08CB21A5" w14:textId="77777777" w:rsidR="00CF5634"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proofErr w:type="spellStart"/>
      <w:r>
        <w:rPr>
          <w:rFonts w:cs="Georgia"/>
          <w:b/>
          <w:bCs/>
          <w:sz w:val="22"/>
          <w:szCs w:val="22"/>
        </w:rPr>
        <w:t>Canyonization</w:t>
      </w:r>
      <w:proofErr w:type="spellEnd"/>
      <w:r>
        <w:rPr>
          <w:rFonts w:cs="Georgia"/>
          <w:b/>
          <w:bCs/>
          <w:sz w:val="22"/>
          <w:szCs w:val="22"/>
        </w:rPr>
        <w:t>.</w:t>
      </w:r>
      <w:r>
        <w:rPr>
          <w:rFonts w:cs="Georgia"/>
          <w:sz w:val="22"/>
          <w:szCs w:val="22"/>
        </w:rPr>
        <w:t xml:space="preserve"> </w:t>
      </w:r>
      <w:r w:rsidRPr="000D0610">
        <w:rPr>
          <w:rFonts w:cs="Georgia"/>
          <w:sz w:val="22"/>
          <w:szCs w:val="22"/>
        </w:rPr>
        <w:t>The larger buildings on Boylston Street (500 and 888 Boylston) were set far back from the sidewalk edge to</w:t>
      </w:r>
      <w:r w:rsidRPr="000D0610">
        <w:rPr>
          <w:rFonts w:cs="Georgia"/>
          <w:b/>
          <w:bCs/>
          <w:sz w:val="22"/>
          <w:szCs w:val="22"/>
        </w:rPr>
        <w:t xml:space="preserve"> </w:t>
      </w:r>
      <w:r w:rsidRPr="00647595">
        <w:rPr>
          <w:rFonts w:cs="Georgia"/>
          <w:bCs/>
          <w:sz w:val="22"/>
          <w:szCs w:val="22"/>
        </w:rPr>
        <w:t xml:space="preserve">reduce the </w:t>
      </w:r>
      <w:proofErr w:type="spellStart"/>
      <w:r w:rsidRPr="00647595">
        <w:rPr>
          <w:rFonts w:cs="Georgia"/>
          <w:bCs/>
          <w:sz w:val="22"/>
          <w:szCs w:val="22"/>
        </w:rPr>
        <w:t>canyonization</w:t>
      </w:r>
      <w:proofErr w:type="spellEnd"/>
      <w:r w:rsidRPr="000D0610">
        <w:rPr>
          <w:rFonts w:cs="Georgia"/>
          <w:sz w:val="22"/>
          <w:szCs w:val="22"/>
        </w:rPr>
        <w:t xml:space="preserve"> of the street and the shadow impact on Newbury Street and the residential neighborhood. In contrast, this project </w:t>
      </w:r>
      <w:r w:rsidRPr="00647595">
        <w:rPr>
          <w:rFonts w:cs="Georgia"/>
          <w:sz w:val="22"/>
          <w:szCs w:val="22"/>
        </w:rPr>
        <w:t xml:space="preserve">has </w:t>
      </w:r>
      <w:r w:rsidRPr="00647595">
        <w:rPr>
          <w:rFonts w:cs="Georgia"/>
          <w:bCs/>
          <w:sz w:val="22"/>
          <w:szCs w:val="22"/>
        </w:rPr>
        <w:t>no significant setback for either tower.</w:t>
      </w:r>
    </w:p>
    <w:p w14:paraId="73D67DD2" w14:textId="77777777" w:rsidR="00CF5634"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r w:rsidR="00CF5634">
        <w:rPr>
          <w:rFonts w:cs="Georgia"/>
          <w:b/>
          <w:bCs/>
          <w:sz w:val="22"/>
          <w:szCs w:val="22"/>
        </w:rPr>
        <w:t>W</w:t>
      </w:r>
      <w:r w:rsidR="000D0610" w:rsidRPr="000D0610">
        <w:rPr>
          <w:rFonts w:cs="Georgia"/>
          <w:b/>
          <w:bCs/>
          <w:sz w:val="22"/>
          <w:szCs w:val="22"/>
        </w:rPr>
        <w:t>ind</w:t>
      </w:r>
      <w:r w:rsidR="000D0610" w:rsidRPr="000D0610">
        <w:rPr>
          <w:rFonts w:cs="Georgia"/>
          <w:sz w:val="22"/>
          <w:szCs w:val="22"/>
        </w:rPr>
        <w:t xml:space="preserve">. </w:t>
      </w:r>
      <w:r w:rsidR="000D0610">
        <w:rPr>
          <w:rFonts w:cs="Georgia"/>
          <w:sz w:val="22"/>
          <w:szCs w:val="22"/>
        </w:rPr>
        <w:t>These</w:t>
      </w:r>
      <w:r w:rsidR="000D0610" w:rsidRPr="000D0610">
        <w:rPr>
          <w:rFonts w:cs="Georgia"/>
          <w:sz w:val="22"/>
          <w:szCs w:val="22"/>
        </w:rPr>
        <w:t xml:space="preserve"> towers will intensify winds in our already gusty neighborhood</w:t>
      </w:r>
      <w:r w:rsidR="000D0610">
        <w:rPr>
          <w:rFonts w:cs="Georgia"/>
          <w:sz w:val="22"/>
          <w:szCs w:val="22"/>
        </w:rPr>
        <w:t>. We need detailed wind studies and impacts on pedestrians.</w:t>
      </w:r>
    </w:p>
    <w:p w14:paraId="06A5DB0D" w14:textId="77777777" w:rsidR="000D0610" w:rsidRPr="000D0610"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r w:rsidR="00CF5634">
        <w:rPr>
          <w:rFonts w:cs="Georgia"/>
          <w:b/>
          <w:bCs/>
          <w:sz w:val="22"/>
          <w:szCs w:val="22"/>
        </w:rPr>
        <w:t>Transportation</w:t>
      </w:r>
      <w:r w:rsidR="000D0610" w:rsidRPr="000D0610">
        <w:rPr>
          <w:rFonts w:cs="Georgia"/>
          <w:b/>
          <w:bCs/>
          <w:sz w:val="22"/>
          <w:szCs w:val="22"/>
        </w:rPr>
        <w:t>.</w:t>
      </w:r>
      <w:r w:rsidR="000D0610" w:rsidRPr="000D0610">
        <w:rPr>
          <w:rFonts w:cs="Georgia"/>
          <w:sz w:val="22"/>
          <w:szCs w:val="22"/>
        </w:rPr>
        <w:t xml:space="preserve"> Adding 342 residential units </w:t>
      </w:r>
      <w:r w:rsidR="00CF5634">
        <w:rPr>
          <w:rFonts w:cs="Georgia"/>
          <w:sz w:val="22"/>
          <w:szCs w:val="22"/>
        </w:rPr>
        <w:t>and</w:t>
      </w:r>
      <w:r w:rsidR="000D0610" w:rsidRPr="000D0610">
        <w:rPr>
          <w:rFonts w:cs="Georgia"/>
          <w:sz w:val="22"/>
          <w:szCs w:val="22"/>
        </w:rPr>
        <w:t xml:space="preserve"> 300 cars on this block will have significant impact. Keep in mind that our Fire</w:t>
      </w:r>
      <w:r w:rsidR="000D0610">
        <w:rPr>
          <w:rFonts w:cs="Georgia"/>
          <w:sz w:val="22"/>
          <w:szCs w:val="22"/>
        </w:rPr>
        <w:t xml:space="preserve"> Station is across the street. We need detailed studies of </w:t>
      </w:r>
      <w:r w:rsidR="00CF5634">
        <w:rPr>
          <w:rFonts w:cs="Georgia"/>
          <w:sz w:val="22"/>
          <w:szCs w:val="22"/>
        </w:rPr>
        <w:t xml:space="preserve">impact on </w:t>
      </w:r>
      <w:r w:rsidR="000D0610">
        <w:rPr>
          <w:rFonts w:cs="Georgia"/>
          <w:sz w:val="22"/>
          <w:szCs w:val="22"/>
        </w:rPr>
        <w:t xml:space="preserve">street </w:t>
      </w:r>
      <w:r w:rsidR="00CF5634">
        <w:rPr>
          <w:rFonts w:cs="Georgia"/>
          <w:sz w:val="22"/>
          <w:szCs w:val="22"/>
        </w:rPr>
        <w:t xml:space="preserve">traffic </w:t>
      </w:r>
      <w:r w:rsidR="000D0610">
        <w:rPr>
          <w:rFonts w:cs="Georgia"/>
          <w:sz w:val="22"/>
          <w:szCs w:val="22"/>
        </w:rPr>
        <w:t>and public transit capacity</w:t>
      </w:r>
      <w:r w:rsidR="000D0610" w:rsidRPr="000D0610">
        <w:rPr>
          <w:rFonts w:cs="Georgia"/>
          <w:i/>
          <w:iCs/>
          <w:sz w:val="22"/>
          <w:szCs w:val="22"/>
        </w:rPr>
        <w:t>.</w:t>
      </w:r>
    </w:p>
    <w:p w14:paraId="23D13BA5" w14:textId="77777777" w:rsidR="000D0610" w:rsidRPr="000D0610"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r w:rsidR="00CF5634">
        <w:rPr>
          <w:rFonts w:cs="Georgia"/>
          <w:b/>
          <w:bCs/>
          <w:sz w:val="22"/>
          <w:szCs w:val="22"/>
        </w:rPr>
        <w:t>Sustainable design</w:t>
      </w:r>
      <w:r w:rsidR="000D0610" w:rsidRPr="000D0610">
        <w:rPr>
          <w:rFonts w:cs="Georgia"/>
          <w:b/>
          <w:bCs/>
          <w:sz w:val="22"/>
          <w:szCs w:val="22"/>
        </w:rPr>
        <w:t>.</w:t>
      </w:r>
      <w:r w:rsidR="000D0610" w:rsidRPr="000D0610">
        <w:rPr>
          <w:rFonts w:cs="Georgia"/>
          <w:sz w:val="22"/>
          <w:szCs w:val="22"/>
        </w:rPr>
        <w:t xml:space="preserve"> This project meets </w:t>
      </w:r>
      <w:r w:rsidR="00CF5634">
        <w:rPr>
          <w:rFonts w:cs="Georgia"/>
          <w:sz w:val="22"/>
          <w:szCs w:val="22"/>
        </w:rPr>
        <w:t xml:space="preserve">only </w:t>
      </w:r>
      <w:r w:rsidR="000D0610" w:rsidRPr="00CF5634">
        <w:rPr>
          <w:rFonts w:cs="Georgia"/>
          <w:sz w:val="22"/>
          <w:szCs w:val="22"/>
        </w:rPr>
        <w:t xml:space="preserve">the </w:t>
      </w:r>
      <w:r w:rsidR="000D0610" w:rsidRPr="00CF5634">
        <w:rPr>
          <w:rFonts w:cs="Georgia"/>
          <w:bCs/>
          <w:sz w:val="22"/>
          <w:szCs w:val="22"/>
        </w:rPr>
        <w:t>third-tier quality benchmark (Silver) for LEED certification</w:t>
      </w:r>
      <w:r w:rsidR="000D0610" w:rsidRPr="00CF5634">
        <w:rPr>
          <w:rFonts w:cs="Georgia"/>
          <w:sz w:val="22"/>
          <w:szCs w:val="22"/>
        </w:rPr>
        <w:t xml:space="preserve"> (Leadership in Energy and</w:t>
      </w:r>
      <w:r w:rsidR="000D0610" w:rsidRPr="000D0610">
        <w:rPr>
          <w:rFonts w:cs="Georgia"/>
          <w:sz w:val="22"/>
          <w:szCs w:val="22"/>
        </w:rPr>
        <w:t xml:space="preserve"> Environmental Design). Massachusetts ranks as a top state for sustainable, energy-efficient building. Projects here should be built to Gold or Platinum LEED standards.</w:t>
      </w:r>
    </w:p>
    <w:p w14:paraId="2CE9EC14" w14:textId="77777777" w:rsidR="00647595" w:rsidRDefault="00647595" w:rsidP="00647595">
      <w:pPr>
        <w:widowControl w:val="0"/>
        <w:tabs>
          <w:tab w:val="left" w:pos="180"/>
          <w:tab w:val="left" w:pos="220"/>
        </w:tabs>
        <w:autoSpaceDE w:val="0"/>
        <w:autoSpaceDN w:val="0"/>
        <w:adjustRightInd w:val="0"/>
        <w:ind w:left="720"/>
        <w:rPr>
          <w:rFonts w:cs="Georgia"/>
          <w:sz w:val="22"/>
          <w:szCs w:val="22"/>
        </w:rPr>
      </w:pPr>
      <w:r>
        <w:rPr>
          <w:rFonts w:cs="Georgia"/>
          <w:b/>
          <w:bCs/>
          <w:sz w:val="22"/>
          <w:szCs w:val="22"/>
        </w:rPr>
        <w:tab/>
      </w:r>
      <w:r w:rsidR="00CF5634">
        <w:rPr>
          <w:rFonts w:cs="Georgia"/>
          <w:b/>
          <w:bCs/>
          <w:sz w:val="22"/>
          <w:szCs w:val="22"/>
        </w:rPr>
        <w:t>Public open space</w:t>
      </w:r>
      <w:r w:rsidR="000D0610" w:rsidRPr="000D0610">
        <w:rPr>
          <w:rFonts w:cs="Georgia"/>
          <w:b/>
          <w:bCs/>
          <w:sz w:val="22"/>
          <w:szCs w:val="22"/>
        </w:rPr>
        <w:t>.</w:t>
      </w:r>
      <w:r w:rsidR="000D0610" w:rsidRPr="000D0610">
        <w:rPr>
          <w:rFonts w:cs="Georgia"/>
          <w:sz w:val="22"/>
          <w:szCs w:val="22"/>
        </w:rPr>
        <w:t xml:space="preserve"> </w:t>
      </w:r>
      <w:r w:rsidR="00CF5634">
        <w:rPr>
          <w:rFonts w:cs="Georgia"/>
          <w:sz w:val="22"/>
          <w:szCs w:val="22"/>
        </w:rPr>
        <w:t xml:space="preserve"> A</w:t>
      </w:r>
      <w:r w:rsidR="000D0610" w:rsidRPr="000D0610">
        <w:rPr>
          <w:rFonts w:cs="Georgia"/>
          <w:sz w:val="22"/>
          <w:szCs w:val="22"/>
        </w:rPr>
        <w:t xml:space="preserve"> small garden belonging to St. Cecilia Parish will disappear. </w:t>
      </w:r>
      <w:r w:rsidR="00CF5634">
        <w:rPr>
          <w:rFonts w:cs="Georgia"/>
          <w:sz w:val="22"/>
          <w:szCs w:val="22"/>
        </w:rPr>
        <w:t xml:space="preserve">We need a </w:t>
      </w:r>
      <w:r w:rsidR="00CF5634">
        <w:rPr>
          <w:rFonts w:cs="Georgia"/>
          <w:sz w:val="22"/>
          <w:szCs w:val="22"/>
        </w:rPr>
        <w:lastRenderedPageBreak/>
        <w:t xml:space="preserve">study considering </w:t>
      </w:r>
      <w:r w:rsidR="000D0610" w:rsidRPr="000D0610">
        <w:rPr>
          <w:rFonts w:cs="Georgia"/>
          <w:sz w:val="22"/>
          <w:szCs w:val="22"/>
        </w:rPr>
        <w:t xml:space="preserve">a </w:t>
      </w:r>
      <w:r w:rsidR="00CF5634">
        <w:rPr>
          <w:rFonts w:cs="Georgia"/>
          <w:sz w:val="22"/>
          <w:szCs w:val="22"/>
        </w:rPr>
        <w:t xml:space="preserve">replacement </w:t>
      </w:r>
      <w:r w:rsidR="000D0610" w:rsidRPr="000D0610">
        <w:rPr>
          <w:rFonts w:cs="Georgia"/>
          <w:sz w:val="22"/>
          <w:szCs w:val="22"/>
        </w:rPr>
        <w:t>park on the portion of the air rights owned by the Prudential to offset this loss. </w:t>
      </w:r>
    </w:p>
    <w:p w14:paraId="25128B84" w14:textId="77777777" w:rsidR="00647595" w:rsidRPr="000D0610" w:rsidRDefault="00647595" w:rsidP="00647595">
      <w:pPr>
        <w:widowControl w:val="0"/>
        <w:tabs>
          <w:tab w:val="left" w:pos="180"/>
          <w:tab w:val="left" w:pos="220"/>
        </w:tabs>
        <w:autoSpaceDE w:val="0"/>
        <w:autoSpaceDN w:val="0"/>
        <w:adjustRightInd w:val="0"/>
        <w:ind w:left="720"/>
        <w:rPr>
          <w:rFonts w:cs="Georgia"/>
          <w:sz w:val="22"/>
          <w:szCs w:val="22"/>
        </w:rPr>
      </w:pPr>
    </w:p>
    <w:p w14:paraId="537F0F09" w14:textId="77777777" w:rsidR="00CF5634" w:rsidRPr="000D0610" w:rsidRDefault="00CF5634" w:rsidP="00647595">
      <w:pPr>
        <w:widowControl w:val="0"/>
        <w:tabs>
          <w:tab w:val="left" w:pos="180"/>
        </w:tabs>
        <w:autoSpaceDE w:val="0"/>
        <w:autoSpaceDN w:val="0"/>
        <w:adjustRightInd w:val="0"/>
        <w:ind w:left="360"/>
        <w:rPr>
          <w:rFonts w:cs="Georgia"/>
          <w:sz w:val="22"/>
          <w:szCs w:val="22"/>
        </w:rPr>
      </w:pPr>
      <w:r>
        <w:rPr>
          <w:rFonts w:cs="Georgia"/>
          <w:b/>
          <w:bCs/>
          <w:sz w:val="22"/>
          <w:szCs w:val="22"/>
        </w:rPr>
        <w:t>Design process is inadequate.</w:t>
      </w:r>
    </w:p>
    <w:p w14:paraId="4C709C11" w14:textId="77777777" w:rsidR="000D0610" w:rsidRPr="000D0610" w:rsidRDefault="00647595" w:rsidP="000D0610">
      <w:pPr>
        <w:widowControl w:val="0"/>
        <w:tabs>
          <w:tab w:val="left" w:pos="180"/>
          <w:tab w:val="left" w:pos="220"/>
        </w:tabs>
        <w:autoSpaceDE w:val="0"/>
        <w:autoSpaceDN w:val="0"/>
        <w:adjustRightInd w:val="0"/>
        <w:ind w:left="360"/>
        <w:rPr>
          <w:rFonts w:cs="Georgia"/>
          <w:sz w:val="22"/>
          <w:szCs w:val="22"/>
        </w:rPr>
      </w:pPr>
      <w:r>
        <w:rPr>
          <w:rFonts w:cs="Georgia"/>
          <w:b/>
          <w:bCs/>
          <w:sz w:val="22"/>
          <w:szCs w:val="22"/>
        </w:rPr>
        <w:tab/>
        <w:t>The</w:t>
      </w:r>
      <w:r w:rsidR="001233BF">
        <w:rPr>
          <w:rFonts w:cs="Georgia"/>
          <w:b/>
          <w:bCs/>
          <w:sz w:val="22"/>
          <w:szCs w:val="22"/>
        </w:rPr>
        <w:t xml:space="preserve"> proponent has not considered a more regulation-compliant, less damaging</w:t>
      </w:r>
      <w:r>
        <w:rPr>
          <w:rFonts w:cs="Georgia"/>
          <w:b/>
          <w:bCs/>
          <w:sz w:val="22"/>
          <w:szCs w:val="22"/>
        </w:rPr>
        <w:t xml:space="preserve"> alternative</w:t>
      </w:r>
      <w:r w:rsidR="000D0610" w:rsidRPr="000D0610">
        <w:rPr>
          <w:rFonts w:cs="Georgia"/>
          <w:b/>
          <w:bCs/>
          <w:sz w:val="22"/>
          <w:szCs w:val="22"/>
        </w:rPr>
        <w:t xml:space="preserve">. </w:t>
      </w:r>
      <w:r>
        <w:rPr>
          <w:rFonts w:cs="Georgia"/>
          <w:b/>
          <w:bCs/>
          <w:sz w:val="22"/>
          <w:szCs w:val="22"/>
        </w:rPr>
        <w:t xml:space="preserve"> </w:t>
      </w:r>
      <w:r w:rsidR="000D0610" w:rsidRPr="000D0610">
        <w:rPr>
          <w:rFonts w:cs="Georgia"/>
          <w:sz w:val="22"/>
          <w:szCs w:val="22"/>
        </w:rPr>
        <w:t xml:space="preserve">This is not an “all-or-nothing” situation. </w:t>
      </w:r>
      <w:r w:rsidR="00CF5634">
        <w:rPr>
          <w:rFonts w:cs="Georgia"/>
          <w:sz w:val="22"/>
          <w:szCs w:val="22"/>
        </w:rPr>
        <w:t xml:space="preserve"> The community</w:t>
      </w:r>
      <w:r w:rsidR="000D0610" w:rsidRPr="000D0610">
        <w:rPr>
          <w:rFonts w:cs="Georgia"/>
          <w:sz w:val="22"/>
          <w:szCs w:val="22"/>
        </w:rPr>
        <w:t xml:space="preserve"> would welcome a smaller development that conforms to the Civic Vision and avoids this proposal’s lasting harmful consequences to our neighborhood. We </w:t>
      </w:r>
      <w:r>
        <w:rPr>
          <w:rFonts w:cs="Georgia"/>
          <w:sz w:val="22"/>
          <w:szCs w:val="22"/>
        </w:rPr>
        <w:t xml:space="preserve">demand that an alternative </w:t>
      </w:r>
      <w:r w:rsidR="000D0610" w:rsidRPr="000D0610">
        <w:rPr>
          <w:rFonts w:cs="Georgia"/>
          <w:sz w:val="22"/>
          <w:szCs w:val="22"/>
        </w:rPr>
        <w:t>smaller-scale design</w:t>
      </w:r>
      <w:r>
        <w:rPr>
          <w:rFonts w:cs="Georgia"/>
          <w:sz w:val="22"/>
          <w:szCs w:val="22"/>
        </w:rPr>
        <w:t xml:space="preserve">, </w:t>
      </w:r>
      <w:r w:rsidR="001233BF">
        <w:rPr>
          <w:rFonts w:cs="Georgia"/>
          <w:sz w:val="22"/>
          <w:szCs w:val="22"/>
        </w:rPr>
        <w:t>requiring no</w:t>
      </w:r>
      <w:r>
        <w:rPr>
          <w:rFonts w:cs="Georgia"/>
          <w:sz w:val="22"/>
          <w:szCs w:val="22"/>
        </w:rPr>
        <w:t xml:space="preserve"> public land acquisition,</w:t>
      </w:r>
      <w:r w:rsidR="000D0610" w:rsidRPr="000D0610">
        <w:rPr>
          <w:rFonts w:cs="Georgia"/>
          <w:sz w:val="22"/>
          <w:szCs w:val="22"/>
        </w:rPr>
        <w:t xml:space="preserve"> be evaluated before any decisions are made. </w:t>
      </w:r>
      <w:r>
        <w:rPr>
          <w:rFonts w:cs="Georgia"/>
          <w:sz w:val="22"/>
          <w:szCs w:val="22"/>
        </w:rPr>
        <w:t xml:space="preserve"> </w:t>
      </w:r>
      <w:r w:rsidR="000D0610" w:rsidRPr="000D0610">
        <w:rPr>
          <w:rFonts w:cs="Georgia"/>
          <w:sz w:val="22"/>
          <w:szCs w:val="22"/>
        </w:rPr>
        <w:t xml:space="preserve">Even the state Executive Office of Energy and Environmental Affairs requested additional studies in their review: 1) No-Build Alternative, 2) Reduced-Build Alternative originally proposed by the Proponent in 2013, and 3) </w:t>
      </w:r>
      <w:r w:rsidR="001233BF">
        <w:rPr>
          <w:rFonts w:cs="Georgia"/>
          <w:sz w:val="22"/>
          <w:szCs w:val="22"/>
        </w:rPr>
        <w:t>[Developer-</w:t>
      </w:r>
      <w:proofErr w:type="gramStart"/>
      <w:r w:rsidR="001233BF">
        <w:rPr>
          <w:rFonts w:cs="Georgia"/>
          <w:sz w:val="22"/>
          <w:szCs w:val="22"/>
        </w:rPr>
        <w:t>]</w:t>
      </w:r>
      <w:r w:rsidR="000D0610" w:rsidRPr="000D0610">
        <w:rPr>
          <w:rFonts w:cs="Georgia"/>
          <w:sz w:val="22"/>
          <w:szCs w:val="22"/>
        </w:rPr>
        <w:t>Preferred</w:t>
      </w:r>
      <w:proofErr w:type="gramEnd"/>
      <w:r w:rsidR="001233BF">
        <w:rPr>
          <w:rFonts w:cs="Georgia"/>
          <w:sz w:val="22"/>
          <w:szCs w:val="22"/>
        </w:rPr>
        <w:t xml:space="preserve"> </w:t>
      </w:r>
      <w:r w:rsidR="000D0610" w:rsidRPr="000D0610">
        <w:rPr>
          <w:rFonts w:cs="Georgia"/>
          <w:sz w:val="22"/>
          <w:szCs w:val="22"/>
        </w:rPr>
        <w:t xml:space="preserve"> Alternative</w:t>
      </w:r>
    </w:p>
    <w:p w14:paraId="1720232D" w14:textId="77777777" w:rsidR="000D0610" w:rsidRPr="000D0610" w:rsidRDefault="001233BF" w:rsidP="000D0610">
      <w:pPr>
        <w:widowControl w:val="0"/>
        <w:tabs>
          <w:tab w:val="left" w:pos="180"/>
          <w:tab w:val="left" w:pos="220"/>
        </w:tabs>
        <w:autoSpaceDE w:val="0"/>
        <w:autoSpaceDN w:val="0"/>
        <w:adjustRightInd w:val="0"/>
        <w:ind w:left="360"/>
        <w:rPr>
          <w:rFonts w:cs="Georgia"/>
          <w:sz w:val="22"/>
          <w:szCs w:val="22"/>
        </w:rPr>
      </w:pPr>
      <w:r>
        <w:rPr>
          <w:rFonts w:cs="Georgia"/>
          <w:b/>
          <w:bCs/>
          <w:sz w:val="22"/>
          <w:szCs w:val="22"/>
        </w:rPr>
        <w:tab/>
        <w:t>The development context must be considered as a whole</w:t>
      </w:r>
      <w:r w:rsidR="000D0610" w:rsidRPr="000D0610">
        <w:rPr>
          <w:rFonts w:cs="Georgia"/>
          <w:b/>
          <w:bCs/>
          <w:sz w:val="22"/>
          <w:szCs w:val="22"/>
        </w:rPr>
        <w:t>.</w:t>
      </w:r>
      <w:r w:rsidR="000D0610" w:rsidRPr="000D0610">
        <w:rPr>
          <w:rFonts w:cs="Georgia"/>
          <w:sz w:val="22"/>
          <w:szCs w:val="22"/>
        </w:rPr>
        <w:t xml:space="preserve"> </w:t>
      </w:r>
      <w:proofErr w:type="spellStart"/>
      <w:r w:rsidR="000D0610" w:rsidRPr="000D0610">
        <w:rPr>
          <w:rFonts w:cs="Georgia"/>
          <w:sz w:val="22"/>
          <w:szCs w:val="22"/>
        </w:rPr>
        <w:t>Berklee</w:t>
      </w:r>
      <w:proofErr w:type="spellEnd"/>
      <w:r w:rsidR="000D0610" w:rsidRPr="000D0610">
        <w:rPr>
          <w:rFonts w:cs="Georgia"/>
          <w:sz w:val="22"/>
          <w:szCs w:val="22"/>
        </w:rPr>
        <w:t xml:space="preserve"> College is </w:t>
      </w:r>
      <w:r w:rsidR="005535BF">
        <w:rPr>
          <w:rFonts w:cs="Georgia"/>
          <w:sz w:val="22"/>
          <w:szCs w:val="22"/>
        </w:rPr>
        <w:t>about</w:t>
      </w:r>
      <w:r w:rsidR="000D0610" w:rsidRPr="000D0610">
        <w:rPr>
          <w:rFonts w:cs="Georgia"/>
          <w:sz w:val="22"/>
          <w:szCs w:val="22"/>
        </w:rPr>
        <w:t xml:space="preserve"> to add another tower on Mass. Ave. near Boylston Street as part of its Master Plan. </w:t>
      </w:r>
      <w:r w:rsidR="005535BF">
        <w:rPr>
          <w:rFonts w:cs="Georgia"/>
          <w:sz w:val="22"/>
          <w:szCs w:val="22"/>
        </w:rPr>
        <w:t xml:space="preserve"> And</w:t>
      </w:r>
      <w:r w:rsidR="000D0610" w:rsidRPr="000D0610">
        <w:rPr>
          <w:rFonts w:cs="Georgia"/>
          <w:sz w:val="22"/>
          <w:szCs w:val="22"/>
        </w:rPr>
        <w:t xml:space="preserve"> another tower is planned on air rights at Mass. Ave.</w:t>
      </w:r>
      <w:r>
        <w:rPr>
          <w:rFonts w:cs="Georgia"/>
          <w:sz w:val="22"/>
          <w:szCs w:val="22"/>
        </w:rPr>
        <w:t xml:space="preserve"> across from the Hynes T stop. </w:t>
      </w:r>
      <w:r w:rsidR="005535BF">
        <w:rPr>
          <w:rFonts w:cs="Georgia"/>
          <w:sz w:val="22"/>
          <w:szCs w:val="22"/>
        </w:rPr>
        <w:t xml:space="preserve"> </w:t>
      </w:r>
      <w:r w:rsidR="00957E56">
        <w:rPr>
          <w:rFonts w:cs="Georgia"/>
          <w:sz w:val="22"/>
          <w:szCs w:val="22"/>
        </w:rPr>
        <w:t>The</w:t>
      </w:r>
      <w:r>
        <w:rPr>
          <w:rFonts w:cs="Georgia"/>
          <w:sz w:val="22"/>
          <w:szCs w:val="22"/>
        </w:rPr>
        <w:t xml:space="preserve"> f</w:t>
      </w:r>
      <w:r w:rsidR="000D0610" w:rsidRPr="000D0610">
        <w:rPr>
          <w:rFonts w:cs="Georgia"/>
          <w:sz w:val="22"/>
          <w:szCs w:val="22"/>
        </w:rPr>
        <w:t xml:space="preserve">our towers </w:t>
      </w:r>
      <w:r w:rsidR="00957E56">
        <w:rPr>
          <w:rFonts w:cs="Georgia"/>
          <w:sz w:val="22"/>
          <w:szCs w:val="22"/>
        </w:rPr>
        <w:t xml:space="preserve">together </w:t>
      </w:r>
      <w:r w:rsidR="000D0610" w:rsidRPr="000D0610">
        <w:rPr>
          <w:rFonts w:cs="Georgia"/>
          <w:sz w:val="22"/>
          <w:szCs w:val="22"/>
        </w:rPr>
        <w:t>would add tremendous density and shadow to the border of our neighborhood.</w:t>
      </w:r>
    </w:p>
    <w:p w14:paraId="46F23782" w14:textId="77777777" w:rsidR="00647595" w:rsidRDefault="001233BF" w:rsidP="00647595">
      <w:pPr>
        <w:widowControl w:val="0"/>
        <w:tabs>
          <w:tab w:val="left" w:pos="180"/>
          <w:tab w:val="left" w:pos="220"/>
        </w:tabs>
        <w:autoSpaceDE w:val="0"/>
        <w:autoSpaceDN w:val="0"/>
        <w:adjustRightInd w:val="0"/>
        <w:ind w:left="360"/>
        <w:rPr>
          <w:rFonts w:cs="Georgia"/>
          <w:sz w:val="22"/>
          <w:szCs w:val="22"/>
        </w:rPr>
      </w:pPr>
      <w:r>
        <w:rPr>
          <w:rFonts w:cs="Georgia"/>
          <w:sz w:val="22"/>
          <w:szCs w:val="22"/>
        </w:rPr>
        <w:tab/>
      </w:r>
      <w:r w:rsidRPr="001233BF">
        <w:rPr>
          <w:rFonts w:cs="Georgia"/>
          <w:b/>
          <w:sz w:val="22"/>
          <w:szCs w:val="22"/>
        </w:rPr>
        <w:t xml:space="preserve">The economics of the project have not been demonstrated.  </w:t>
      </w:r>
      <w:r w:rsidR="00647595" w:rsidRPr="000D0610">
        <w:rPr>
          <w:rFonts w:cs="Georgia"/>
          <w:sz w:val="22"/>
          <w:szCs w:val="22"/>
        </w:rPr>
        <w:t>The developer has not shown that a project of this scale is financially necessary to offset the costs of building over the Turnpike, although cost arguments alone would not necessarily garner support for the project.</w:t>
      </w:r>
    </w:p>
    <w:p w14:paraId="55485EFA" w14:textId="77777777" w:rsidR="000D0610" w:rsidRPr="000D0610" w:rsidRDefault="000D0610" w:rsidP="000D0610">
      <w:pPr>
        <w:tabs>
          <w:tab w:val="left" w:pos="180"/>
        </w:tabs>
        <w:rPr>
          <w:rFonts w:cs="Arial"/>
          <w:sz w:val="22"/>
          <w:szCs w:val="22"/>
        </w:rPr>
      </w:pPr>
    </w:p>
    <w:p w14:paraId="5470741C" w14:textId="77777777" w:rsidR="00F51B88" w:rsidRPr="000D0610" w:rsidRDefault="00F51B88" w:rsidP="000D0610">
      <w:pPr>
        <w:rPr>
          <w:rFonts w:cs="Arial"/>
          <w:sz w:val="22"/>
          <w:szCs w:val="22"/>
        </w:rPr>
      </w:pPr>
    </w:p>
    <w:p w14:paraId="79234776" w14:textId="77777777" w:rsidR="00F51B88" w:rsidRPr="000D0610" w:rsidRDefault="00F51B88" w:rsidP="000D0610">
      <w:pPr>
        <w:ind w:left="360"/>
        <w:rPr>
          <w:rFonts w:cs="Arial"/>
          <w:sz w:val="22"/>
          <w:szCs w:val="22"/>
        </w:rPr>
      </w:pPr>
      <w:r w:rsidRPr="000D0610">
        <w:rPr>
          <w:rFonts w:cs="Arial"/>
          <w:sz w:val="22"/>
          <w:szCs w:val="22"/>
        </w:rPr>
        <w:t>Regarding the required Draft Project Impact Report (DPIR), we request the preparation of additional studies complete with environmental impact reports for the following alternatives:</w:t>
      </w:r>
    </w:p>
    <w:p w14:paraId="59796C48" w14:textId="77777777" w:rsidR="00F51B88" w:rsidRPr="000D0610" w:rsidRDefault="00F51B88" w:rsidP="000D0610">
      <w:pPr>
        <w:rPr>
          <w:rFonts w:cs="Arial"/>
          <w:sz w:val="22"/>
          <w:szCs w:val="22"/>
        </w:rPr>
      </w:pPr>
    </w:p>
    <w:p w14:paraId="223BEE15" w14:textId="77777777" w:rsidR="00F51B88" w:rsidRPr="000D0610" w:rsidRDefault="00F51B88" w:rsidP="000D0610">
      <w:pPr>
        <w:ind w:left="360"/>
        <w:rPr>
          <w:rFonts w:cs="Arial"/>
          <w:i/>
          <w:sz w:val="22"/>
          <w:szCs w:val="22"/>
        </w:rPr>
      </w:pPr>
      <w:r w:rsidRPr="000D0610">
        <w:rPr>
          <w:rFonts w:cs="Arial"/>
          <w:i/>
          <w:sz w:val="22"/>
          <w:szCs w:val="22"/>
        </w:rPr>
        <w:t xml:space="preserve">A design based on the Weiner Samuels submission to </w:t>
      </w:r>
      <w:proofErr w:type="spellStart"/>
      <w:r w:rsidRPr="000D0610">
        <w:rPr>
          <w:rFonts w:cs="Arial"/>
          <w:i/>
          <w:sz w:val="22"/>
          <w:szCs w:val="22"/>
        </w:rPr>
        <w:t>MassDOT</w:t>
      </w:r>
      <w:proofErr w:type="spellEnd"/>
      <w:r w:rsidRPr="000D0610">
        <w:rPr>
          <w:rFonts w:cs="Arial"/>
          <w:i/>
          <w:sz w:val="22"/>
          <w:szCs w:val="22"/>
        </w:rPr>
        <w:t xml:space="preserve"> in 2013, the design the CAC reviewed when recommending the Samuels Weiner team for Parcels 12 &amp; 15.</w:t>
      </w:r>
      <w:r w:rsidR="001233BF">
        <w:rPr>
          <w:rFonts w:cs="Arial"/>
          <w:i/>
          <w:sz w:val="22"/>
          <w:szCs w:val="22"/>
        </w:rPr>
        <w:t xml:space="preserve"> </w:t>
      </w:r>
      <w:r w:rsidRPr="000D0610">
        <w:rPr>
          <w:rFonts w:cs="Arial"/>
          <w:i/>
          <w:sz w:val="22"/>
          <w:szCs w:val="22"/>
        </w:rPr>
        <w:t xml:space="preserve"> In this design</w:t>
      </w:r>
      <w:r w:rsidR="001233BF">
        <w:rPr>
          <w:rFonts w:cs="Arial"/>
          <w:i/>
          <w:sz w:val="22"/>
          <w:szCs w:val="22"/>
        </w:rPr>
        <w:t>,</w:t>
      </w:r>
      <w:r w:rsidRPr="000D0610">
        <w:rPr>
          <w:rFonts w:cs="Arial"/>
          <w:i/>
          <w:sz w:val="22"/>
          <w:szCs w:val="22"/>
        </w:rPr>
        <w:t xml:space="preserve"> the </w:t>
      </w:r>
      <w:proofErr w:type="gramStart"/>
      <w:r w:rsidRPr="000D0610">
        <w:rPr>
          <w:rFonts w:cs="Arial"/>
          <w:i/>
          <w:sz w:val="22"/>
          <w:szCs w:val="22"/>
        </w:rPr>
        <w:t>Prudential</w:t>
      </w:r>
      <w:proofErr w:type="gramEnd"/>
      <w:r w:rsidRPr="000D0610">
        <w:rPr>
          <w:rFonts w:cs="Arial"/>
          <w:i/>
          <w:sz w:val="22"/>
          <w:szCs w:val="22"/>
        </w:rPr>
        <w:t xml:space="preserve"> site is undeveloped, except for a low scale building or a park.</w:t>
      </w:r>
    </w:p>
    <w:p w14:paraId="702972FE" w14:textId="77777777" w:rsidR="00F51B88" w:rsidRPr="000D0610" w:rsidRDefault="00F51B88" w:rsidP="000D0610">
      <w:pPr>
        <w:rPr>
          <w:rFonts w:cs="Arial"/>
          <w:sz w:val="22"/>
          <w:szCs w:val="22"/>
        </w:rPr>
      </w:pPr>
    </w:p>
    <w:p w14:paraId="012D728A" w14:textId="77777777" w:rsidR="00F51B88" w:rsidRPr="000D0610" w:rsidRDefault="00F51B88" w:rsidP="000D0610">
      <w:pPr>
        <w:ind w:left="360"/>
        <w:rPr>
          <w:rFonts w:cs="Arial"/>
          <w:i/>
          <w:sz w:val="22"/>
          <w:szCs w:val="22"/>
        </w:rPr>
      </w:pPr>
      <w:r w:rsidRPr="000D0610">
        <w:rPr>
          <w:rFonts w:cs="Arial"/>
          <w:i/>
          <w:sz w:val="22"/>
          <w:szCs w:val="22"/>
        </w:rPr>
        <w:t>A design that meets the underlying zoning (no PDA) and does not request the City to cede air rights over streets or sidewalks.</w:t>
      </w:r>
    </w:p>
    <w:p w14:paraId="478FB9C7" w14:textId="77777777" w:rsidR="00F51B88" w:rsidRPr="000D0610" w:rsidRDefault="00F51B88" w:rsidP="000D0610">
      <w:pPr>
        <w:rPr>
          <w:rFonts w:cs="Arial"/>
          <w:sz w:val="22"/>
          <w:szCs w:val="22"/>
        </w:rPr>
      </w:pPr>
    </w:p>
    <w:p w14:paraId="6FD6D01F" w14:textId="77777777" w:rsidR="00F51B88" w:rsidRPr="001233BF" w:rsidRDefault="001233BF" w:rsidP="000D0610">
      <w:pPr>
        <w:ind w:left="360"/>
        <w:rPr>
          <w:rFonts w:cs="Arial"/>
          <w:i/>
          <w:sz w:val="22"/>
          <w:szCs w:val="22"/>
        </w:rPr>
      </w:pPr>
      <w:r w:rsidRPr="001233BF">
        <w:rPr>
          <w:rFonts w:cs="Arial"/>
          <w:i/>
          <w:sz w:val="22"/>
          <w:szCs w:val="22"/>
        </w:rPr>
        <w:t>A design</w:t>
      </w:r>
      <w:r w:rsidR="00F51B88" w:rsidRPr="001233BF">
        <w:rPr>
          <w:rFonts w:cs="Arial"/>
          <w:i/>
          <w:sz w:val="22"/>
          <w:szCs w:val="22"/>
        </w:rPr>
        <w:t xml:space="preserve"> that </w:t>
      </w:r>
      <w:r w:rsidRPr="001233BF">
        <w:rPr>
          <w:rFonts w:cs="Arial"/>
          <w:i/>
          <w:sz w:val="22"/>
          <w:szCs w:val="22"/>
        </w:rPr>
        <w:t xml:space="preserve">leaves </w:t>
      </w:r>
      <w:r>
        <w:rPr>
          <w:rFonts w:cs="Arial"/>
          <w:i/>
          <w:sz w:val="22"/>
          <w:szCs w:val="22"/>
        </w:rPr>
        <w:t>the city’s cherished public parks –</w:t>
      </w:r>
      <w:r w:rsidR="00F350A4">
        <w:rPr>
          <w:rFonts w:cs="Arial"/>
          <w:i/>
          <w:sz w:val="22"/>
          <w:szCs w:val="22"/>
        </w:rPr>
        <w:t xml:space="preserve"> the</w:t>
      </w:r>
      <w:r w:rsidR="00F51B88" w:rsidRPr="001233BF">
        <w:rPr>
          <w:rFonts w:cs="Arial"/>
          <w:i/>
          <w:sz w:val="22"/>
          <w:szCs w:val="22"/>
        </w:rPr>
        <w:t xml:space="preserve"> Commonwealth Avenue Mall and the Esplanade</w:t>
      </w:r>
      <w:r>
        <w:rPr>
          <w:rFonts w:cs="Arial"/>
          <w:i/>
          <w:sz w:val="22"/>
          <w:szCs w:val="22"/>
        </w:rPr>
        <w:t xml:space="preserve"> --</w:t>
      </w:r>
      <w:r w:rsidR="00F51B88" w:rsidRPr="001233BF">
        <w:rPr>
          <w:rFonts w:cs="Arial"/>
          <w:i/>
          <w:sz w:val="22"/>
          <w:szCs w:val="22"/>
        </w:rPr>
        <w:t xml:space="preserve"> at least as sunny as the design in the 2013 Weiner Samuels RFP submission.</w:t>
      </w:r>
    </w:p>
    <w:p w14:paraId="1EFB2FD9" w14:textId="77777777" w:rsidR="00F51B88" w:rsidRPr="001233BF" w:rsidRDefault="00F51B88" w:rsidP="000D0610">
      <w:pPr>
        <w:ind w:left="40"/>
        <w:rPr>
          <w:rFonts w:cs="Arial"/>
          <w:i/>
          <w:sz w:val="22"/>
          <w:szCs w:val="22"/>
        </w:rPr>
      </w:pPr>
    </w:p>
    <w:p w14:paraId="2567519B" w14:textId="77777777" w:rsidR="00F51B88" w:rsidRPr="000D0610" w:rsidRDefault="000D0610" w:rsidP="000D0610">
      <w:pPr>
        <w:ind w:left="360"/>
        <w:rPr>
          <w:rFonts w:cs="Arial"/>
          <w:sz w:val="22"/>
          <w:szCs w:val="22"/>
        </w:rPr>
      </w:pPr>
      <w:r w:rsidRPr="000D0610">
        <w:rPr>
          <w:rFonts w:cs="Arial"/>
          <w:sz w:val="22"/>
          <w:szCs w:val="22"/>
        </w:rPr>
        <w:t xml:space="preserve">Please </w:t>
      </w:r>
      <w:r w:rsidR="001233BF">
        <w:rPr>
          <w:rFonts w:cs="Arial"/>
          <w:sz w:val="22"/>
          <w:szCs w:val="22"/>
        </w:rPr>
        <w:t>protect the neighborhood fabric</w:t>
      </w:r>
      <w:r w:rsidR="00F51B88" w:rsidRPr="000D0610">
        <w:rPr>
          <w:rFonts w:cs="Arial"/>
          <w:sz w:val="22"/>
          <w:szCs w:val="22"/>
        </w:rPr>
        <w:t xml:space="preserve"> and do not permit the developers to ig</w:t>
      </w:r>
      <w:r w:rsidR="001233BF">
        <w:rPr>
          <w:rFonts w:cs="Arial"/>
          <w:sz w:val="22"/>
          <w:szCs w:val="22"/>
        </w:rPr>
        <w:t>nore the design considerations e</w:t>
      </w:r>
      <w:r w:rsidR="00F51B88" w:rsidRPr="000D0610">
        <w:rPr>
          <w:rFonts w:cs="Arial"/>
          <w:sz w:val="22"/>
          <w:szCs w:val="22"/>
        </w:rPr>
        <w:t>mbedded in the Civic Vision.</w:t>
      </w:r>
    </w:p>
    <w:p w14:paraId="07B25C83" w14:textId="77777777" w:rsidR="000D0610" w:rsidRPr="000D0610" w:rsidRDefault="000D0610" w:rsidP="000D0610">
      <w:pPr>
        <w:rPr>
          <w:rFonts w:cs="Arial"/>
          <w:sz w:val="22"/>
          <w:szCs w:val="22"/>
        </w:rPr>
      </w:pPr>
    </w:p>
    <w:p w14:paraId="598AA548" w14:textId="76CF13DC" w:rsidR="00F51B88" w:rsidRPr="000D0610" w:rsidRDefault="000D0610" w:rsidP="009F4E85">
      <w:pPr>
        <w:ind w:left="360"/>
        <w:rPr>
          <w:rFonts w:cs="Arial"/>
          <w:sz w:val="22"/>
          <w:szCs w:val="22"/>
        </w:rPr>
      </w:pPr>
      <w:r w:rsidRPr="000D0610">
        <w:rPr>
          <w:rFonts w:cs="Arial"/>
          <w:sz w:val="22"/>
          <w:szCs w:val="22"/>
        </w:rPr>
        <w:t>Shirley Kressel</w:t>
      </w:r>
      <w:bookmarkStart w:id="0" w:name="_GoBack"/>
      <w:bookmarkEnd w:id="0"/>
      <w:r w:rsidR="009F4E85" w:rsidRPr="000D0610">
        <w:rPr>
          <w:rFonts w:cs="Arial"/>
          <w:sz w:val="22"/>
          <w:szCs w:val="22"/>
        </w:rPr>
        <w:t xml:space="preserve"> </w:t>
      </w:r>
    </w:p>
    <w:p w14:paraId="36F39FF0" w14:textId="77777777" w:rsidR="00ED1B92" w:rsidRPr="000D0610" w:rsidRDefault="00ED1B92" w:rsidP="000D0610">
      <w:pPr>
        <w:rPr>
          <w:sz w:val="22"/>
          <w:szCs w:val="22"/>
        </w:rPr>
      </w:pPr>
    </w:p>
    <w:sectPr w:rsidR="00ED1B92" w:rsidRPr="000D0610" w:rsidSect="0020057C">
      <w:pgSz w:w="12240" w:h="15840"/>
      <w:pgMar w:top="864" w:right="864" w:bottom="864" w:left="86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4FC2604"/>
    <w:multiLevelType w:val="hybridMultilevel"/>
    <w:tmpl w:val="47980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B88"/>
    <w:rsid w:val="000D0610"/>
    <w:rsid w:val="001233BF"/>
    <w:rsid w:val="0020057C"/>
    <w:rsid w:val="003D42EE"/>
    <w:rsid w:val="005535BF"/>
    <w:rsid w:val="005A4131"/>
    <w:rsid w:val="00647595"/>
    <w:rsid w:val="00863A4E"/>
    <w:rsid w:val="00957E56"/>
    <w:rsid w:val="009F4E85"/>
    <w:rsid w:val="00CF5634"/>
    <w:rsid w:val="00ED1B92"/>
    <w:rsid w:val="00F350A4"/>
    <w:rsid w:val="00F51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E3020"/>
  <w14:defaultImageDpi w14:val="300"/>
  <w15:docId w15:val="{34DCACC8-3F66-4A06-B98B-03A9A7D51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B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874</Words>
  <Characters>4983</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Kressel</dc:creator>
  <cp:keywords/>
  <dc:description/>
  <cp:lastModifiedBy>Cohen, Phil</cp:lastModifiedBy>
  <cp:revision>3</cp:revision>
  <dcterms:created xsi:type="dcterms:W3CDTF">2017-03-14T01:40:00Z</dcterms:created>
  <dcterms:modified xsi:type="dcterms:W3CDTF">2017-03-27T17:31:00Z</dcterms:modified>
</cp:coreProperties>
</file>